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4E" w:rsidRPr="00B71D23" w:rsidRDefault="003E66E4" w:rsidP="003E66E4">
      <w:pPr>
        <w:jc w:val="center"/>
        <w:rPr>
          <w:b/>
          <w:sz w:val="28"/>
          <w:szCs w:val="28"/>
        </w:rPr>
      </w:pPr>
      <w:r w:rsidRPr="00B71D23">
        <w:rPr>
          <w:b/>
          <w:sz w:val="28"/>
          <w:szCs w:val="28"/>
        </w:rPr>
        <w:t>Behavioral Finance</w:t>
      </w:r>
      <w:r w:rsidR="00917199">
        <w:rPr>
          <w:b/>
          <w:sz w:val="28"/>
          <w:szCs w:val="28"/>
        </w:rPr>
        <w:t xml:space="preserve"> Principles</w:t>
      </w:r>
      <w:bookmarkStart w:id="0" w:name="_GoBack"/>
      <w:bookmarkEnd w:id="0"/>
    </w:p>
    <w:p w:rsidR="003E66E4" w:rsidRDefault="003E66E4" w:rsidP="003E66E4"/>
    <w:p w:rsidR="003E66E4" w:rsidRDefault="003E66E4" w:rsidP="003E66E4">
      <w:r>
        <w:t>Behavioral finance is the study of how psychological phenomena impact financial behavior.</w:t>
      </w:r>
    </w:p>
    <w:p w:rsidR="003E66E4" w:rsidRDefault="003E66E4" w:rsidP="003E66E4"/>
    <w:p w:rsidR="00FA4403" w:rsidRDefault="00232921" w:rsidP="003E66E4">
      <w:r>
        <w:t>Heuristic – a rule of thumb</w:t>
      </w:r>
    </w:p>
    <w:p w:rsidR="00232921" w:rsidRDefault="00232921" w:rsidP="003E66E4"/>
    <w:p w:rsidR="00232921" w:rsidRDefault="00232921" w:rsidP="003E66E4">
      <w:r>
        <w:t>Representativeness – a heuristic marked by overreliance on stereotypes</w:t>
      </w:r>
    </w:p>
    <w:p w:rsidR="00232921" w:rsidRDefault="00232921" w:rsidP="003E66E4">
      <w:r>
        <w:tab/>
        <w:t>Leads to violation of Bayes rule</w:t>
      </w:r>
      <w:r w:rsidR="00453E60">
        <w:t xml:space="preserve"> (too much weight placed on conditional probabilities and not enough weight placed on unconditional probabilities)</w:t>
      </w:r>
    </w:p>
    <w:p w:rsidR="00232921" w:rsidRDefault="00232921" w:rsidP="003E66E4">
      <w:r>
        <w:tab/>
        <w:t>Leads to predictions that are insufficiently mean-regressive</w:t>
      </w:r>
    </w:p>
    <w:p w:rsidR="00232921" w:rsidRDefault="00232921" w:rsidP="003E66E4">
      <w:r>
        <w:tab/>
        <w:t>Leads to an expectation of high returns from safe stocks (good stocks are stocks of good companies)</w:t>
      </w:r>
    </w:p>
    <w:p w:rsidR="00232921" w:rsidRDefault="00232921" w:rsidP="003E66E4"/>
    <w:p w:rsidR="00232921" w:rsidRDefault="00453E60" w:rsidP="003E66E4">
      <w:r>
        <w:t>Continuation – trend following – tendency to believe that recent returns will continue</w:t>
      </w:r>
    </w:p>
    <w:p w:rsidR="00232921" w:rsidRDefault="00232921" w:rsidP="003E66E4"/>
    <w:p w:rsidR="00232921" w:rsidRDefault="00232921" w:rsidP="003E66E4">
      <w:r>
        <w:t>Gambler’s Fallacy – tendency to predict reversals too frequently</w:t>
      </w:r>
    </w:p>
    <w:p w:rsidR="00232921" w:rsidRDefault="00232921" w:rsidP="003E66E4">
      <w:r>
        <w:tab/>
        <w:t>Due to belief that law of large numbers extends to small numbers</w:t>
      </w:r>
    </w:p>
    <w:p w:rsidR="00232921" w:rsidRDefault="00232921" w:rsidP="003E66E4"/>
    <w:p w:rsidR="00232921" w:rsidRDefault="00232921" w:rsidP="003E66E4">
      <w:r>
        <w:t>Overconfidence – leads to an underestimation of risk</w:t>
      </w:r>
    </w:p>
    <w:p w:rsidR="00232921" w:rsidRDefault="00232921" w:rsidP="003E66E4"/>
    <w:p w:rsidR="00232921" w:rsidRDefault="00232921" w:rsidP="003E66E4">
      <w:r>
        <w:t>Sentiment – measures the degree of excessive optimism or pessimism among investors</w:t>
      </w:r>
    </w:p>
    <w:p w:rsidR="00232921" w:rsidRDefault="00232921" w:rsidP="003E66E4">
      <w:r>
        <w:tab/>
        <w:t>Investors tend to be overly optimistic or pessimistic</w:t>
      </w:r>
    </w:p>
    <w:p w:rsidR="00232921" w:rsidRDefault="00232921" w:rsidP="003E66E4"/>
    <w:p w:rsidR="00232921" w:rsidRDefault="00AF4CC9" w:rsidP="003E66E4">
      <w:r>
        <w:t xml:space="preserve">Traditional asset pricing theorists assume that investors seek to maximize expected </w:t>
      </w:r>
      <w:r w:rsidR="00453E60">
        <w:t>utility</w:t>
      </w:r>
    </w:p>
    <w:p w:rsidR="00AF4CC9" w:rsidRDefault="00AF4CC9" w:rsidP="003E66E4"/>
    <w:p w:rsidR="00AF4CC9" w:rsidRDefault="00AF4CC9" w:rsidP="003E66E4">
      <w:r>
        <w:t xml:space="preserve">Proponents of Behavioral Finance are critical of expected utility as a descriptive theory </w:t>
      </w:r>
      <w:proofErr w:type="gramStart"/>
      <w:r>
        <w:t>They</w:t>
      </w:r>
      <w:proofErr w:type="gramEnd"/>
      <w:r>
        <w:t xml:space="preserve"> believe that Prospect Theory better describes behavior</w:t>
      </w:r>
    </w:p>
    <w:p w:rsidR="00AF4CC9" w:rsidRDefault="00AF4CC9" w:rsidP="003E66E4"/>
    <w:p w:rsidR="00AF4CC9" w:rsidRDefault="00AF4CC9" w:rsidP="003E66E4">
      <w:r>
        <w:t>Framing – the manner in which a decision task is described</w:t>
      </w:r>
    </w:p>
    <w:p w:rsidR="00AF4CC9" w:rsidRDefault="00AF4CC9" w:rsidP="003E66E4"/>
    <w:p w:rsidR="00AF4CC9" w:rsidRDefault="00AF4CC9" w:rsidP="003E66E4">
      <w:r>
        <w:t>People act as if they are risk averse when only gains are involved, but become risk-seeking when the</w:t>
      </w:r>
      <w:r w:rsidR="00453E60">
        <w:t>y</w:t>
      </w:r>
      <w:r>
        <w:t xml:space="preserve"> perceive themselves to be facing the possibility of a loss</w:t>
      </w:r>
    </w:p>
    <w:p w:rsidR="00AF4CC9" w:rsidRDefault="00AF4CC9" w:rsidP="003E66E4"/>
    <w:p w:rsidR="00AF4CC9" w:rsidRDefault="00AF4CC9" w:rsidP="003E66E4">
      <w:r>
        <w:t xml:space="preserve">Myopic </w:t>
      </w:r>
      <w:smartTag w:uri="urn:schemas-microsoft-com:office:smarttags" w:element="Street">
        <w:smartTag w:uri="urn:schemas-microsoft-com:office:smarttags" w:element="address">
          <w:r>
            <w:t>Loss Ave</w:t>
          </w:r>
        </w:smartTag>
      </w:smartTag>
      <w:r>
        <w:t>rsion – basing decisions of gains or loss</w:t>
      </w:r>
      <w:r w:rsidR="00453E60">
        <w:t>es</w:t>
      </w:r>
      <w:r>
        <w:t xml:space="preserve"> on a point of reference rather than in absolute terms.</w:t>
      </w:r>
    </w:p>
    <w:p w:rsidR="00AF4CC9" w:rsidRDefault="00AF4CC9" w:rsidP="003E66E4"/>
    <w:p w:rsidR="00AF4CC9" w:rsidRDefault="00AF4CC9" w:rsidP="003E66E4">
      <w:r>
        <w:t>Mental accounts are framed as gains and losses. These gains and losses are defined in terms of a benchmark or reference point.</w:t>
      </w:r>
    </w:p>
    <w:p w:rsidR="00453E60" w:rsidRDefault="00453E60" w:rsidP="003E66E4"/>
    <w:p w:rsidR="00453E60" w:rsidRDefault="00453E60" w:rsidP="003E66E4">
      <w:r>
        <w:t>Investors gravitate towards certain gains and away from certain losses when faced with portfolio choices.</w:t>
      </w:r>
    </w:p>
    <w:p w:rsidR="00AF4CC9" w:rsidRDefault="00AF4CC9" w:rsidP="003E66E4">
      <w:r>
        <w:br w:type="page"/>
      </w:r>
    </w:p>
    <w:p w:rsidR="00AF4CC9" w:rsidRDefault="00AF4CC9" w:rsidP="003E66E4">
      <w:smartTag w:uri="urn:schemas-microsoft-com:office:smarttags" w:element="place">
        <w:r>
          <w:t>Po</w:t>
        </w:r>
      </w:smartTag>
      <w:r>
        <w:t>rtfolio Implications:</w:t>
      </w:r>
    </w:p>
    <w:p w:rsidR="00AF4CC9" w:rsidRDefault="00AF4CC9" w:rsidP="003E66E4">
      <w:smartTag w:uri="urn:schemas-microsoft-com:office:smarttags" w:element="place">
        <w:r>
          <w:t>Po</w:t>
        </w:r>
      </w:smartTag>
      <w:r>
        <w:t>rtfolios selected by investors whose choices conform to prospect theory will differ in key respects from the portfolios selected by investors whose choices conform to expected utility theory.</w:t>
      </w:r>
    </w:p>
    <w:p w:rsidR="00AF4CC9" w:rsidRDefault="00AF4CC9" w:rsidP="003E66E4"/>
    <w:p w:rsidR="00AF4CC9" w:rsidRDefault="003D3A20" w:rsidP="003E66E4">
      <w:r>
        <w:t>Expected Utility Theory – Well-</w:t>
      </w:r>
      <w:r w:rsidR="00AF4CC9">
        <w:t>diversified portfolios</w:t>
      </w:r>
    </w:p>
    <w:p w:rsidR="00AF4CC9" w:rsidRDefault="00AF4CC9" w:rsidP="003E66E4">
      <w:r>
        <w:tab/>
      </w:r>
      <w:r>
        <w:tab/>
      </w:r>
      <w:r>
        <w:tab/>
        <w:t xml:space="preserve">        Ignore sunk costs</w:t>
      </w:r>
    </w:p>
    <w:p w:rsidR="00016A63" w:rsidRDefault="00016A63" w:rsidP="003E66E4"/>
    <w:p w:rsidR="00016A63" w:rsidRDefault="003D3A20" w:rsidP="003E66E4">
      <w:r>
        <w:t>Prospect Theory – Not well-</w:t>
      </w:r>
      <w:r w:rsidR="00016A63">
        <w:t>diversified portfolios</w:t>
      </w:r>
    </w:p>
    <w:p w:rsidR="00016A63" w:rsidRDefault="00016A63" w:rsidP="003E66E4">
      <w:r>
        <w:tab/>
      </w:r>
      <w:r>
        <w:tab/>
        <w:t xml:space="preserve">      Combine very safe and very risky choices (</w:t>
      </w:r>
      <w:proofErr w:type="spellStart"/>
      <w:r>
        <w:t>insur</w:t>
      </w:r>
      <w:proofErr w:type="spellEnd"/>
      <w:r>
        <w:t>. and lottery tickets)</w:t>
      </w:r>
    </w:p>
    <w:p w:rsidR="00016A63" w:rsidRDefault="00016A63" w:rsidP="003E66E4">
      <w:r>
        <w:tab/>
      </w:r>
      <w:r>
        <w:tab/>
        <w:t xml:space="preserve">      Reluctant to realize losses</w:t>
      </w:r>
    </w:p>
    <w:p w:rsidR="007B29F5" w:rsidRDefault="007B29F5" w:rsidP="003E66E4">
      <w:r>
        <w:tab/>
      </w:r>
      <w:r>
        <w:tab/>
        <w:t xml:space="preserve">      </w:t>
      </w:r>
      <w:proofErr w:type="spellStart"/>
      <w:r>
        <w:t>Overweights</w:t>
      </w:r>
      <w:proofErr w:type="spellEnd"/>
      <w:r>
        <w:t xml:space="preserve"> low probabilities</w:t>
      </w:r>
    </w:p>
    <w:p w:rsidR="007B29F5" w:rsidRDefault="007B29F5" w:rsidP="003E66E4">
      <w:r>
        <w:tab/>
      </w:r>
      <w:r>
        <w:tab/>
        <w:t xml:space="preserve">      Underweights high probabilities</w:t>
      </w:r>
    </w:p>
    <w:p w:rsidR="007B29F5" w:rsidRDefault="007B29F5" w:rsidP="003E66E4">
      <w:r>
        <w:tab/>
      </w:r>
      <w:r>
        <w:tab/>
        <w:t xml:space="preserve">      Risk aversion in the domain of gains</w:t>
      </w:r>
    </w:p>
    <w:p w:rsidR="007B29F5" w:rsidRDefault="007B29F5" w:rsidP="003E66E4">
      <w:r>
        <w:tab/>
      </w:r>
      <w:r>
        <w:tab/>
        <w:t xml:space="preserve">      Risk seeking in the domain of losses</w:t>
      </w:r>
    </w:p>
    <w:p w:rsidR="00141E36" w:rsidRDefault="00141E36" w:rsidP="003E66E4"/>
    <w:p w:rsidR="00141E36" w:rsidRDefault="00141E36" w:rsidP="003E66E4">
      <w:r>
        <w:t xml:space="preserve">Prospect Theory – people do not judge outcomes on an absolute scale, but compare outcomes with an initial reference point. </w:t>
      </w:r>
    </w:p>
    <w:p w:rsidR="00545D4F" w:rsidRDefault="00545D4F" w:rsidP="003E66E4">
      <w:r>
        <w:tab/>
        <w:t>Their objective function has a kink at the reference point</w:t>
      </w:r>
    </w:p>
    <w:p w:rsidR="00545D4F" w:rsidRDefault="00545D4F" w:rsidP="003E66E4">
      <w:r>
        <w:tab/>
        <w:t xml:space="preserve">The objective </w:t>
      </w:r>
      <w:proofErr w:type="spellStart"/>
      <w:r>
        <w:t>functoiin</w:t>
      </w:r>
      <w:proofErr w:type="spellEnd"/>
      <w:r>
        <w:t xml:space="preserve"> is concave for gains, but convex for losses</w:t>
      </w:r>
    </w:p>
    <w:p w:rsidR="00545D4F" w:rsidRDefault="00545D4F" w:rsidP="003E66E4">
      <w:r>
        <w:tab/>
        <w:t>Risk aversion is locally infinite at that point</w:t>
      </w:r>
    </w:p>
    <w:p w:rsidR="007B29F5" w:rsidRDefault="007B29F5" w:rsidP="003E66E4"/>
    <w:p w:rsidR="007B29F5" w:rsidRDefault="007B29F5" w:rsidP="003E66E4">
      <w:r>
        <w:t>Disposition Effect – Investors tend to sell winners too quickly</w:t>
      </w:r>
    </w:p>
    <w:p w:rsidR="007B29F5" w:rsidRDefault="007B29F5" w:rsidP="003E66E4">
      <w:r>
        <w:tab/>
      </w:r>
      <w:r>
        <w:tab/>
        <w:t xml:space="preserve">          Investors tend to hold on to losers too long</w:t>
      </w:r>
    </w:p>
    <w:p w:rsidR="007B29F5" w:rsidRDefault="007B29F5" w:rsidP="003E66E4">
      <w:r>
        <w:tab/>
      </w:r>
      <w:r>
        <w:tab/>
      </w:r>
      <w:r>
        <w:tab/>
      </w:r>
      <w:r>
        <w:tab/>
        <w:t>Relative to Expected Utility Maximization</w:t>
      </w:r>
    </w:p>
    <w:p w:rsidR="007B29F5" w:rsidRDefault="007B29F5" w:rsidP="003E66E4"/>
    <w:p w:rsidR="007B29F5" w:rsidRDefault="007B29F5" w:rsidP="003E66E4">
      <w:proofErr w:type="spellStart"/>
      <w:r>
        <w:t>Odean</w:t>
      </w:r>
      <w:proofErr w:type="spellEnd"/>
      <w:r>
        <w:t xml:space="preserve"> found that investors realized 14.8 % of their gains but only 9.8% of their losses (except December)</w:t>
      </w:r>
    </w:p>
    <w:p w:rsidR="007B29F5" w:rsidRDefault="007B29F5" w:rsidP="003E66E4"/>
    <w:p w:rsidR="00141E36" w:rsidRDefault="00141E36" w:rsidP="003E66E4"/>
    <w:p w:rsidR="00AF4CC9" w:rsidRDefault="00AF4CC9" w:rsidP="003E66E4"/>
    <w:p w:rsidR="00232921" w:rsidRDefault="00232921" w:rsidP="003E66E4"/>
    <w:sectPr w:rsidR="00232921" w:rsidSect="005E579C">
      <w:footerReference w:type="even" r:id="rId7"/>
      <w:foot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A9" w:rsidRDefault="00A364A9">
      <w:r>
        <w:separator/>
      </w:r>
    </w:p>
  </w:endnote>
  <w:endnote w:type="continuationSeparator" w:id="0">
    <w:p w:rsidR="00A364A9" w:rsidRDefault="00A3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36" w:rsidRDefault="00141E36" w:rsidP="006367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E36" w:rsidRDefault="00141E36" w:rsidP="00C305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36" w:rsidRDefault="00141E36" w:rsidP="006367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A20">
      <w:rPr>
        <w:rStyle w:val="PageNumber"/>
        <w:noProof/>
      </w:rPr>
      <w:t>1</w:t>
    </w:r>
    <w:r>
      <w:rPr>
        <w:rStyle w:val="PageNumber"/>
      </w:rPr>
      <w:fldChar w:fldCharType="end"/>
    </w:r>
  </w:p>
  <w:p w:rsidR="00141E36" w:rsidRDefault="00141E36" w:rsidP="00C305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A9" w:rsidRDefault="00A364A9">
      <w:r>
        <w:separator/>
      </w:r>
    </w:p>
  </w:footnote>
  <w:footnote w:type="continuationSeparator" w:id="0">
    <w:p w:rsidR="00A364A9" w:rsidRDefault="00A3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551"/>
    <w:multiLevelType w:val="hybridMultilevel"/>
    <w:tmpl w:val="2D06AF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E6D4F"/>
    <w:multiLevelType w:val="hybridMultilevel"/>
    <w:tmpl w:val="F244B6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A1C36"/>
    <w:multiLevelType w:val="hybridMultilevel"/>
    <w:tmpl w:val="7BD4DE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C26BD"/>
    <w:multiLevelType w:val="hybridMultilevel"/>
    <w:tmpl w:val="DBD2BA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DC336F"/>
    <w:multiLevelType w:val="hybridMultilevel"/>
    <w:tmpl w:val="728CC7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6E4"/>
    <w:rsid w:val="00016A63"/>
    <w:rsid w:val="00102C9F"/>
    <w:rsid w:val="00114A4E"/>
    <w:rsid w:val="0012452A"/>
    <w:rsid w:val="00141E36"/>
    <w:rsid w:val="00165096"/>
    <w:rsid w:val="001701D6"/>
    <w:rsid w:val="00232921"/>
    <w:rsid w:val="002B41DF"/>
    <w:rsid w:val="003D3A20"/>
    <w:rsid w:val="003E66E4"/>
    <w:rsid w:val="003F470D"/>
    <w:rsid w:val="00453E60"/>
    <w:rsid w:val="00485F4F"/>
    <w:rsid w:val="00491CD8"/>
    <w:rsid w:val="00545D4F"/>
    <w:rsid w:val="005E579C"/>
    <w:rsid w:val="006367EA"/>
    <w:rsid w:val="0066402E"/>
    <w:rsid w:val="007713C0"/>
    <w:rsid w:val="007B0C5C"/>
    <w:rsid w:val="007B29F5"/>
    <w:rsid w:val="0088676B"/>
    <w:rsid w:val="00917199"/>
    <w:rsid w:val="009E3218"/>
    <w:rsid w:val="00A364A9"/>
    <w:rsid w:val="00AD0E6B"/>
    <w:rsid w:val="00AF4CC9"/>
    <w:rsid w:val="00B200FF"/>
    <w:rsid w:val="00B71D23"/>
    <w:rsid w:val="00B72C43"/>
    <w:rsid w:val="00BE4915"/>
    <w:rsid w:val="00C2110B"/>
    <w:rsid w:val="00C3058E"/>
    <w:rsid w:val="00C351E5"/>
    <w:rsid w:val="00D4551F"/>
    <w:rsid w:val="00DC02D6"/>
    <w:rsid w:val="00E1406D"/>
    <w:rsid w:val="00E622DB"/>
    <w:rsid w:val="00EE09D0"/>
    <w:rsid w:val="00F013C1"/>
    <w:rsid w:val="00F17363"/>
    <w:rsid w:val="00FA4403"/>
    <w:rsid w:val="00F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305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Behavioral Finance</vt:lpstr>
    </vt:vector>
  </TitlesOfParts>
  <Company>Freeman School of Business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Finance</dc:title>
  <dc:creator>Bill Reese - Freeman School of Business</dc:creator>
  <cp:lastModifiedBy>wreese</cp:lastModifiedBy>
  <cp:revision>3</cp:revision>
  <dcterms:created xsi:type="dcterms:W3CDTF">2016-04-15T18:25:00Z</dcterms:created>
  <dcterms:modified xsi:type="dcterms:W3CDTF">2016-04-15T18:26:00Z</dcterms:modified>
</cp:coreProperties>
</file>